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D2" w:rsidRPr="00E62F94" w:rsidRDefault="000737D2" w:rsidP="000737D2">
      <w:pPr>
        <w:jc w:val="center"/>
        <w:rPr>
          <w:rFonts w:cs="Arial"/>
          <w:b/>
          <w:sz w:val="24"/>
          <w:szCs w:val="24"/>
        </w:rPr>
      </w:pPr>
      <w:r w:rsidRPr="00E62F94">
        <w:rPr>
          <w:rFonts w:cs="Arial"/>
          <w:b/>
          <w:sz w:val="24"/>
          <w:szCs w:val="24"/>
        </w:rPr>
        <w:t>Рейтинг вкладов для пенсионеров, январь 2021 с указанием баллов</w:t>
      </w:r>
    </w:p>
    <w:p w:rsidR="000737D2" w:rsidRPr="00E62F94" w:rsidRDefault="00E62F94" w:rsidP="000737D2">
      <w:pPr>
        <w:jc w:val="center"/>
        <w:rPr>
          <w:rFonts w:cs="Arial"/>
          <w:b/>
          <w:sz w:val="24"/>
          <w:szCs w:val="24"/>
          <w:lang w:val="en-US"/>
        </w:rPr>
      </w:pPr>
      <w:hyperlink r:id="rId6" w:history="1">
        <w:r w:rsidRPr="00E62F94">
          <w:rPr>
            <w:rStyle w:val="a3"/>
            <w:rFonts w:cs="Arial"/>
            <w:b/>
            <w:sz w:val="24"/>
            <w:szCs w:val="24"/>
          </w:rPr>
          <w:t>www.finansist-k</w:t>
        </w:r>
        <w:r w:rsidRPr="00E62F94">
          <w:rPr>
            <w:rStyle w:val="a3"/>
            <w:rFonts w:cs="Arial"/>
            <w:b/>
            <w:sz w:val="24"/>
            <w:szCs w:val="24"/>
            <w:lang w:val="en-US"/>
          </w:rPr>
          <w:t>azan</w:t>
        </w:r>
        <w:r w:rsidRPr="00E62F94">
          <w:rPr>
            <w:rStyle w:val="a3"/>
            <w:rFonts w:cs="Arial"/>
            <w:b/>
            <w:sz w:val="24"/>
            <w:szCs w:val="24"/>
          </w:rPr>
          <w:t>.</w:t>
        </w:r>
        <w:proofErr w:type="spellStart"/>
        <w:r w:rsidRPr="00E62F94">
          <w:rPr>
            <w:rStyle w:val="a3"/>
            <w:rFonts w:cs="Arial"/>
            <w:b/>
            <w:sz w:val="24"/>
            <w:szCs w:val="24"/>
          </w:rPr>
          <w:t>ru</w:t>
        </w:r>
        <w:proofErr w:type="spellEnd"/>
      </w:hyperlink>
      <w:r w:rsidRPr="00E62F94">
        <w:rPr>
          <w:rFonts w:cs="Arial"/>
          <w:b/>
          <w:sz w:val="24"/>
          <w:szCs w:val="24"/>
        </w:rPr>
        <w:t xml:space="preserve"> </w:t>
      </w:r>
    </w:p>
    <w:tbl>
      <w:tblPr>
        <w:tblW w:w="10562" w:type="dxa"/>
        <w:jc w:val="center"/>
        <w:tblCellSpacing w:w="0" w:type="dxa"/>
        <w:tblInd w:w="-12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2694"/>
        <w:gridCol w:w="850"/>
        <w:gridCol w:w="709"/>
        <w:gridCol w:w="1134"/>
        <w:gridCol w:w="1134"/>
        <w:gridCol w:w="1276"/>
        <w:gridCol w:w="1134"/>
        <w:gridCol w:w="1169"/>
      </w:tblGrid>
      <w:tr w:rsidR="00E62F94" w:rsidRPr="00A326A0" w:rsidTr="00F10159">
        <w:trPr>
          <w:tblCellSpacing w:w="0" w:type="dxa"/>
          <w:jc w:val="center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:rsidR="00E62F94" w:rsidRPr="002036B5" w:rsidRDefault="00E62F94" w:rsidP="00F10159">
            <w:pPr>
              <w:pStyle w:val="a4"/>
              <w:spacing w:before="0" w:beforeAutospacing="0" w:after="0" w:afterAutospacing="0"/>
              <w:rPr>
                <w:b/>
                <w:color w:val="141414"/>
                <w:sz w:val="20"/>
                <w:szCs w:val="20"/>
              </w:rPr>
            </w:pPr>
            <w:r w:rsidRPr="002036B5">
              <w:rPr>
                <w:b/>
                <w:bCs/>
                <w:color w:val="141414"/>
                <w:sz w:val="20"/>
                <w:szCs w:val="20"/>
              </w:rPr>
              <w:t>Место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:rsidR="00E62F94" w:rsidRPr="00A326A0" w:rsidRDefault="00E62F94" w:rsidP="00F10159">
            <w:pPr>
              <w:pStyle w:val="a4"/>
              <w:spacing w:before="0" w:beforeAutospacing="0" w:after="0" w:afterAutospacing="0"/>
              <w:rPr>
                <w:color w:val="141414"/>
                <w:sz w:val="20"/>
                <w:szCs w:val="20"/>
              </w:rPr>
            </w:pPr>
            <w:r w:rsidRPr="00A326A0">
              <w:rPr>
                <w:b/>
                <w:sz w:val="20"/>
                <w:szCs w:val="20"/>
              </w:rPr>
              <w:t>Наименование банка и депозитной программы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:rsidR="00E62F94" w:rsidRPr="00A326A0" w:rsidRDefault="00E62F94" w:rsidP="00F10159">
            <w:pPr>
              <w:pStyle w:val="a4"/>
              <w:spacing w:before="0" w:beforeAutospacing="0" w:after="0" w:afterAutospacing="0"/>
              <w:rPr>
                <w:color w:val="141414"/>
                <w:sz w:val="20"/>
                <w:szCs w:val="20"/>
              </w:rPr>
            </w:pPr>
            <w:r w:rsidRPr="00A326A0">
              <w:rPr>
                <w:b/>
                <w:bCs/>
                <w:color w:val="141414"/>
                <w:sz w:val="20"/>
                <w:szCs w:val="20"/>
              </w:rPr>
              <w:t>Процентная ставка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:rsidR="00E62F94" w:rsidRPr="002036B5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</w:tcPr>
          <w:p w:rsidR="00E62F94" w:rsidRPr="00A326A0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критерий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:rsidR="00E62F94" w:rsidRPr="00A326A0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критерий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:rsidR="00E62F94" w:rsidRPr="00A326A0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критерий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:rsidR="00E62F94" w:rsidRPr="00A326A0" w:rsidRDefault="00E62F94" w:rsidP="00F101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критерий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</w:tcPr>
          <w:p w:rsidR="00E62F94" w:rsidRPr="00A326A0" w:rsidRDefault="00E62F94" w:rsidP="00F101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критерий</w:t>
            </w:r>
          </w:p>
        </w:tc>
      </w:tr>
      <w:tr w:rsidR="00E62F94" w:rsidRPr="00A326A0" w:rsidTr="00F10159">
        <w:trPr>
          <w:tblCellSpacing w:w="0" w:type="dxa"/>
          <w:jc w:val="center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:rsidR="00E62F94" w:rsidRPr="002036B5" w:rsidRDefault="00E62F94" w:rsidP="00F10159">
            <w:pPr>
              <w:pStyle w:val="a4"/>
              <w:spacing w:before="0" w:beforeAutospacing="0" w:after="0" w:afterAutospacing="0"/>
              <w:rPr>
                <w:b/>
                <w:color w:val="141414"/>
                <w:sz w:val="20"/>
                <w:szCs w:val="20"/>
              </w:rPr>
            </w:pPr>
            <w:r w:rsidRPr="002036B5">
              <w:rPr>
                <w:b/>
                <w:color w:val="141414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F94" w:rsidRPr="00A326A0" w:rsidRDefault="00E62F94" w:rsidP="00F10159">
            <w:pPr>
              <w:pStyle w:val="a4"/>
              <w:spacing w:before="0" w:beforeAutospacing="0" w:after="0" w:afterAutospacing="0"/>
              <w:rPr>
                <w:color w:val="141414"/>
                <w:sz w:val="20"/>
                <w:szCs w:val="20"/>
              </w:rPr>
            </w:pPr>
            <w:r w:rsidRPr="00A326A0">
              <w:rPr>
                <w:color w:val="141414"/>
                <w:sz w:val="20"/>
                <w:szCs w:val="20"/>
              </w:rPr>
              <w:t>МЕТАЛЛИНВЕСТБАНК</w:t>
            </w:r>
            <w:r w:rsidRPr="00A326A0">
              <w:rPr>
                <w:color w:val="141414"/>
                <w:sz w:val="20"/>
                <w:szCs w:val="20"/>
              </w:rPr>
              <w:br/>
              <w:t>«Пенсионный доход»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pStyle w:val="a4"/>
              <w:spacing w:before="0" w:beforeAutospacing="0" w:after="0" w:afterAutospacing="0"/>
              <w:rPr>
                <w:color w:val="141414"/>
                <w:sz w:val="20"/>
                <w:szCs w:val="20"/>
              </w:rPr>
            </w:pPr>
            <w:r w:rsidRPr="00A326A0">
              <w:rPr>
                <w:color w:val="141414"/>
                <w:sz w:val="20"/>
                <w:szCs w:val="20"/>
              </w:rPr>
              <w:t>4,20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2036B5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F94" w:rsidRPr="00A326A0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F94" w:rsidRPr="00A326A0" w:rsidRDefault="00E62F94" w:rsidP="00F101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E62F94" w:rsidRPr="00A326A0" w:rsidTr="00F10159">
        <w:trPr>
          <w:tblCellSpacing w:w="0" w:type="dxa"/>
          <w:jc w:val="center"/>
        </w:trPr>
        <w:tc>
          <w:tcPr>
            <w:tcW w:w="462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:rsidR="00E62F94" w:rsidRPr="002036B5" w:rsidRDefault="00E62F94" w:rsidP="00F10159">
            <w:pPr>
              <w:pStyle w:val="a4"/>
              <w:rPr>
                <w:b/>
                <w:color w:val="141414"/>
                <w:sz w:val="20"/>
                <w:szCs w:val="20"/>
              </w:rPr>
            </w:pPr>
            <w:r w:rsidRPr="002036B5">
              <w:rPr>
                <w:b/>
                <w:color w:val="141414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E62F94" w:rsidRPr="00A326A0" w:rsidRDefault="00E62F94" w:rsidP="00F10159">
            <w:pPr>
              <w:pStyle w:val="a4"/>
              <w:spacing w:before="0" w:beforeAutospacing="0" w:after="0" w:afterAutospacing="0"/>
              <w:rPr>
                <w:color w:val="141414"/>
                <w:sz w:val="20"/>
                <w:szCs w:val="20"/>
              </w:rPr>
            </w:pPr>
            <w:r w:rsidRPr="00A326A0">
              <w:rPr>
                <w:color w:val="141414"/>
                <w:sz w:val="20"/>
                <w:szCs w:val="20"/>
              </w:rPr>
              <w:t>АБСОЛЮТ БАНК</w:t>
            </w:r>
            <w:r w:rsidRPr="00A326A0">
              <w:rPr>
                <w:color w:val="141414"/>
                <w:sz w:val="20"/>
                <w:szCs w:val="20"/>
              </w:rPr>
              <w:br/>
              <w:t>«Пенсионный»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pStyle w:val="a4"/>
              <w:spacing w:before="0" w:beforeAutospacing="0" w:after="0" w:afterAutospacing="0"/>
              <w:rPr>
                <w:color w:val="141414"/>
                <w:sz w:val="20"/>
                <w:szCs w:val="20"/>
              </w:rPr>
            </w:pPr>
            <w:r w:rsidRPr="00A326A0">
              <w:rPr>
                <w:color w:val="141414"/>
                <w:sz w:val="20"/>
                <w:szCs w:val="20"/>
              </w:rPr>
              <w:t>4,45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2036B5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F94" w:rsidRPr="00A326A0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F94" w:rsidRPr="00A326A0" w:rsidRDefault="00E62F94" w:rsidP="00F101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E62F94" w:rsidRPr="00A326A0" w:rsidTr="00F10159">
        <w:trPr>
          <w:tblCellSpacing w:w="0" w:type="dxa"/>
          <w:jc w:val="center"/>
        </w:trPr>
        <w:tc>
          <w:tcPr>
            <w:tcW w:w="4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:rsidR="00E62F94" w:rsidRPr="002036B5" w:rsidRDefault="00E62F94" w:rsidP="00F10159">
            <w:pPr>
              <w:pStyle w:val="a4"/>
              <w:rPr>
                <w:b/>
                <w:color w:val="141414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BFBFBF" w:themeColor="background1" w:themeShade="BF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E62F94" w:rsidRPr="00A326A0" w:rsidRDefault="00E62F94" w:rsidP="00F10159">
            <w:pPr>
              <w:pStyle w:val="a4"/>
              <w:spacing w:before="0" w:beforeAutospacing="0" w:after="0" w:afterAutospacing="0"/>
              <w:rPr>
                <w:color w:val="141414"/>
                <w:sz w:val="20"/>
                <w:szCs w:val="20"/>
              </w:rPr>
            </w:pPr>
            <w:r w:rsidRPr="00A326A0">
              <w:rPr>
                <w:color w:val="141414"/>
                <w:sz w:val="20"/>
                <w:szCs w:val="20"/>
              </w:rPr>
              <w:t>ИК БАНК</w:t>
            </w:r>
            <w:r w:rsidRPr="00A326A0">
              <w:rPr>
                <w:color w:val="141414"/>
                <w:sz w:val="20"/>
                <w:szCs w:val="20"/>
              </w:rPr>
              <w:br/>
              <w:t>«Пенсионный»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pStyle w:val="a4"/>
              <w:spacing w:before="0" w:beforeAutospacing="0" w:after="0" w:afterAutospacing="0"/>
              <w:rPr>
                <w:color w:val="141414"/>
                <w:sz w:val="20"/>
                <w:szCs w:val="20"/>
              </w:rPr>
            </w:pPr>
            <w:r w:rsidRPr="00A326A0">
              <w:rPr>
                <w:color w:val="141414"/>
                <w:sz w:val="20"/>
                <w:szCs w:val="20"/>
              </w:rPr>
              <w:t>4,50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2036B5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F94" w:rsidRPr="00A326A0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F94" w:rsidRPr="00A326A0" w:rsidRDefault="00E62F94" w:rsidP="00F101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E62F94" w:rsidRPr="00A326A0" w:rsidTr="00F10159">
        <w:trPr>
          <w:tblCellSpacing w:w="0" w:type="dxa"/>
          <w:jc w:val="center"/>
        </w:trPr>
        <w:tc>
          <w:tcPr>
            <w:tcW w:w="4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:rsidR="00E62F94" w:rsidRPr="002036B5" w:rsidRDefault="00E62F94" w:rsidP="00F10159">
            <w:pPr>
              <w:pStyle w:val="a4"/>
              <w:spacing w:before="0" w:beforeAutospacing="0" w:after="0" w:afterAutospacing="0"/>
              <w:rPr>
                <w:b/>
                <w:color w:val="141414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A6A6A6" w:themeColor="background1" w:themeShade="A6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F94" w:rsidRPr="00A326A0" w:rsidRDefault="00E62F94" w:rsidP="00F10159">
            <w:pPr>
              <w:pStyle w:val="a4"/>
              <w:spacing w:before="0" w:beforeAutospacing="0" w:after="0" w:afterAutospacing="0"/>
              <w:rPr>
                <w:color w:val="141414"/>
                <w:sz w:val="20"/>
                <w:szCs w:val="20"/>
              </w:rPr>
            </w:pPr>
            <w:r w:rsidRPr="00A326A0">
              <w:rPr>
                <w:color w:val="141414"/>
                <w:sz w:val="20"/>
                <w:szCs w:val="20"/>
              </w:rPr>
              <w:t>ИНВЕСТТОРГБАНК</w:t>
            </w:r>
            <w:r w:rsidRPr="00A326A0">
              <w:rPr>
                <w:color w:val="141414"/>
                <w:sz w:val="20"/>
                <w:szCs w:val="20"/>
              </w:rPr>
              <w:br/>
              <w:t>«ИТБ-Пенсионный»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pStyle w:val="a4"/>
              <w:spacing w:before="0" w:beforeAutospacing="0" w:after="0" w:afterAutospacing="0"/>
              <w:rPr>
                <w:color w:val="141414"/>
                <w:sz w:val="20"/>
                <w:szCs w:val="20"/>
              </w:rPr>
            </w:pPr>
            <w:r w:rsidRPr="00A326A0">
              <w:rPr>
                <w:color w:val="141414"/>
                <w:sz w:val="20"/>
                <w:szCs w:val="20"/>
              </w:rPr>
              <w:t>3,55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2036B5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F94" w:rsidRPr="00A326A0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F94" w:rsidRPr="00A326A0" w:rsidRDefault="00E62F94" w:rsidP="00F101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E62F94" w:rsidRPr="00A326A0" w:rsidTr="00F10159">
        <w:trPr>
          <w:tblCellSpacing w:w="0" w:type="dxa"/>
          <w:jc w:val="center"/>
        </w:trPr>
        <w:tc>
          <w:tcPr>
            <w:tcW w:w="462" w:type="dxa"/>
            <w:vMerge/>
            <w:tcBorders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62F94" w:rsidRPr="002036B5" w:rsidRDefault="00E62F94" w:rsidP="00F10159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BFBFBF" w:themeColor="background1" w:themeShade="BF"/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E62F94" w:rsidRPr="00A326A0" w:rsidRDefault="00E62F94" w:rsidP="00F1015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326A0">
              <w:rPr>
                <w:color w:val="141414"/>
                <w:sz w:val="20"/>
                <w:szCs w:val="20"/>
              </w:rPr>
              <w:t>РУССКИЙ СТАНДАРТ</w:t>
            </w:r>
            <w:r w:rsidRPr="00A326A0">
              <w:rPr>
                <w:color w:val="141414"/>
                <w:sz w:val="20"/>
                <w:szCs w:val="20"/>
              </w:rPr>
              <w:br/>
              <w:t>«Русский Стандарт – Пенсионный доход»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326A0">
              <w:rPr>
                <w:color w:val="141414"/>
                <w:sz w:val="20"/>
                <w:szCs w:val="20"/>
              </w:rPr>
              <w:t>4,80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2036B5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F94" w:rsidRPr="00A326A0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F94" w:rsidRPr="00A326A0" w:rsidRDefault="00E62F94" w:rsidP="00F101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E62F94" w:rsidRPr="00A326A0" w:rsidTr="00F10159">
        <w:trPr>
          <w:tblCellSpacing w:w="0" w:type="dxa"/>
          <w:jc w:val="center"/>
        </w:trPr>
        <w:tc>
          <w:tcPr>
            <w:tcW w:w="462" w:type="dxa"/>
            <w:vMerge w:val="restart"/>
            <w:tcBorders>
              <w:top w:val="single" w:sz="2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:rsidR="00E62F94" w:rsidRPr="002036B5" w:rsidRDefault="00E62F94" w:rsidP="00F1015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6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2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F94" w:rsidRPr="00A326A0" w:rsidRDefault="00E62F94" w:rsidP="00F1015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326A0">
              <w:rPr>
                <w:color w:val="141414"/>
                <w:sz w:val="20"/>
                <w:szCs w:val="20"/>
              </w:rPr>
              <w:t>МТС-БАНК</w:t>
            </w:r>
            <w:r w:rsidRPr="00A326A0">
              <w:rPr>
                <w:color w:val="141414"/>
                <w:sz w:val="20"/>
                <w:szCs w:val="20"/>
              </w:rPr>
              <w:br/>
              <w:t>«МТС Пенсионный»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326A0">
              <w:rPr>
                <w:color w:val="141414"/>
                <w:sz w:val="20"/>
                <w:szCs w:val="20"/>
              </w:rPr>
              <w:t>4,00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2036B5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F94" w:rsidRPr="00A326A0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F94" w:rsidRPr="00A326A0" w:rsidRDefault="00E62F94" w:rsidP="00F101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E62F94" w:rsidRPr="00A326A0" w:rsidTr="00F10159">
        <w:trPr>
          <w:tblCellSpacing w:w="0" w:type="dxa"/>
          <w:jc w:val="center"/>
        </w:trPr>
        <w:tc>
          <w:tcPr>
            <w:tcW w:w="462" w:type="dxa"/>
            <w:vMerge/>
            <w:tcBorders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:rsidR="00E62F94" w:rsidRPr="002036B5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E62F94" w:rsidRPr="00A326A0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УРАЛСИБ</w:t>
            </w:r>
            <w:r w:rsidRPr="00A326A0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br/>
              <w:t>«Почетный пенсионер»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4,10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2036B5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F94" w:rsidRPr="00A326A0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F94" w:rsidRPr="00A326A0" w:rsidRDefault="00E62F94" w:rsidP="00F101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E62F94" w:rsidRPr="00A326A0" w:rsidTr="00F10159">
        <w:trPr>
          <w:tblCellSpacing w:w="0" w:type="dxa"/>
          <w:jc w:val="center"/>
        </w:trPr>
        <w:tc>
          <w:tcPr>
            <w:tcW w:w="462" w:type="dxa"/>
            <w:tcBorders>
              <w:top w:val="single" w:sz="2" w:space="0" w:color="BFBFBF" w:themeColor="background1" w:themeShade="BF"/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:rsidR="00E62F94" w:rsidRPr="002036B5" w:rsidRDefault="00E62F94" w:rsidP="00F10159">
            <w:pPr>
              <w:pStyle w:val="a4"/>
              <w:spacing w:before="0" w:beforeAutospacing="0" w:after="0" w:afterAutospacing="0"/>
              <w:rPr>
                <w:b/>
                <w:color w:val="141414"/>
                <w:sz w:val="20"/>
                <w:szCs w:val="20"/>
              </w:rPr>
            </w:pPr>
            <w:r w:rsidRPr="002036B5">
              <w:rPr>
                <w:b/>
                <w:color w:val="141414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2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F94" w:rsidRPr="00A326A0" w:rsidRDefault="00E62F94" w:rsidP="00F10159">
            <w:pPr>
              <w:pStyle w:val="a4"/>
              <w:spacing w:before="0" w:beforeAutospacing="0" w:after="0" w:afterAutospacing="0"/>
              <w:rPr>
                <w:color w:val="141414"/>
                <w:sz w:val="20"/>
                <w:szCs w:val="20"/>
              </w:rPr>
            </w:pPr>
            <w:r w:rsidRPr="00A326A0">
              <w:rPr>
                <w:color w:val="141414"/>
                <w:sz w:val="20"/>
                <w:szCs w:val="20"/>
              </w:rPr>
              <w:t>БАНК КАЗАНИ</w:t>
            </w:r>
            <w:r w:rsidRPr="00A326A0">
              <w:rPr>
                <w:color w:val="141414"/>
                <w:sz w:val="20"/>
                <w:szCs w:val="20"/>
              </w:rPr>
              <w:br/>
              <w:t>«Городской пенсионный»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pStyle w:val="a4"/>
              <w:spacing w:before="0" w:beforeAutospacing="0" w:after="0" w:afterAutospacing="0"/>
              <w:rPr>
                <w:color w:val="141414"/>
                <w:sz w:val="20"/>
                <w:szCs w:val="20"/>
              </w:rPr>
            </w:pPr>
            <w:r w:rsidRPr="00A326A0">
              <w:rPr>
                <w:color w:val="141414"/>
                <w:sz w:val="20"/>
                <w:szCs w:val="20"/>
              </w:rPr>
              <w:t>4,00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2036B5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F94" w:rsidRPr="00A326A0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F94" w:rsidRPr="00A326A0" w:rsidRDefault="00E62F94" w:rsidP="00F101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E62F94" w:rsidRPr="00A326A0" w:rsidTr="00F10159">
        <w:trPr>
          <w:tblCellSpacing w:w="0" w:type="dxa"/>
          <w:jc w:val="center"/>
        </w:trPr>
        <w:tc>
          <w:tcPr>
            <w:tcW w:w="462" w:type="dxa"/>
            <w:tcBorders>
              <w:top w:val="single" w:sz="2" w:space="0" w:color="BFBFBF" w:themeColor="background1" w:themeShade="BF"/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:rsidR="00E62F94" w:rsidRPr="002036B5" w:rsidRDefault="00E62F94" w:rsidP="00F10159">
            <w:pPr>
              <w:pStyle w:val="a4"/>
              <w:spacing w:before="0" w:beforeAutospacing="0" w:after="0" w:afterAutospacing="0"/>
              <w:rPr>
                <w:b/>
                <w:color w:val="141414"/>
                <w:sz w:val="20"/>
                <w:szCs w:val="20"/>
              </w:rPr>
            </w:pPr>
            <w:r w:rsidRPr="002036B5">
              <w:rPr>
                <w:b/>
                <w:color w:val="141414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E62F94" w:rsidRPr="00A326A0" w:rsidRDefault="00E62F94" w:rsidP="00F10159">
            <w:pPr>
              <w:pStyle w:val="a4"/>
              <w:spacing w:before="0" w:beforeAutospacing="0" w:after="0" w:afterAutospacing="0"/>
              <w:rPr>
                <w:color w:val="141414"/>
                <w:sz w:val="20"/>
                <w:szCs w:val="20"/>
              </w:rPr>
            </w:pPr>
            <w:r w:rsidRPr="00A326A0">
              <w:rPr>
                <w:color w:val="141414"/>
                <w:sz w:val="20"/>
                <w:szCs w:val="20"/>
              </w:rPr>
              <w:t>ТИМЕР БАНК</w:t>
            </w:r>
            <w:r w:rsidRPr="00A326A0">
              <w:rPr>
                <w:color w:val="141414"/>
                <w:sz w:val="20"/>
                <w:szCs w:val="20"/>
              </w:rPr>
              <w:br/>
              <w:t>«Пенсионный кошелек»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pStyle w:val="a4"/>
              <w:spacing w:before="0" w:beforeAutospacing="0" w:after="0" w:afterAutospacing="0"/>
              <w:rPr>
                <w:color w:val="141414"/>
                <w:sz w:val="20"/>
                <w:szCs w:val="20"/>
              </w:rPr>
            </w:pPr>
            <w:r w:rsidRPr="00A326A0">
              <w:rPr>
                <w:color w:val="141414"/>
                <w:sz w:val="20"/>
                <w:szCs w:val="20"/>
              </w:rPr>
              <w:t>4,10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2036B5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F94" w:rsidRPr="00A326A0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F94" w:rsidRPr="00A326A0" w:rsidRDefault="00E62F94" w:rsidP="00F101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62F94" w:rsidRPr="00A326A0" w:rsidTr="00F10159">
        <w:trPr>
          <w:tblCellSpacing w:w="0" w:type="dxa"/>
          <w:jc w:val="center"/>
        </w:trPr>
        <w:tc>
          <w:tcPr>
            <w:tcW w:w="462" w:type="dxa"/>
            <w:vMerge w:val="restart"/>
            <w:tcBorders>
              <w:top w:val="single" w:sz="2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:rsidR="00E62F94" w:rsidRPr="002036B5" w:rsidRDefault="00E62F94" w:rsidP="00F10159">
            <w:pPr>
              <w:pStyle w:val="a4"/>
              <w:rPr>
                <w:b/>
                <w:sz w:val="20"/>
                <w:szCs w:val="20"/>
              </w:rPr>
            </w:pPr>
            <w:r w:rsidRPr="002036B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2" w:space="0" w:color="BFBFBF" w:themeColor="background1" w:themeShade="BF"/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E62F94" w:rsidRPr="00A326A0" w:rsidRDefault="00E62F94" w:rsidP="00F1015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326A0">
              <w:rPr>
                <w:color w:val="141414"/>
                <w:sz w:val="20"/>
                <w:szCs w:val="20"/>
              </w:rPr>
              <w:t>АКИБАНК</w:t>
            </w:r>
            <w:r w:rsidRPr="00A326A0">
              <w:rPr>
                <w:color w:val="141414"/>
                <w:sz w:val="20"/>
                <w:szCs w:val="20"/>
              </w:rPr>
              <w:br/>
              <w:t>«Пенсия»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326A0">
              <w:rPr>
                <w:color w:val="141414"/>
                <w:sz w:val="20"/>
                <w:szCs w:val="20"/>
              </w:rPr>
              <w:t>4,00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2036B5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F94" w:rsidRPr="00A326A0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F94" w:rsidRPr="00A326A0" w:rsidRDefault="00E62F94" w:rsidP="00F101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E62F94" w:rsidRPr="00A326A0" w:rsidTr="00F10159">
        <w:trPr>
          <w:tblCellSpacing w:w="0" w:type="dxa"/>
          <w:jc w:val="center"/>
        </w:trPr>
        <w:tc>
          <w:tcPr>
            <w:tcW w:w="4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:rsidR="00E62F94" w:rsidRPr="002036B5" w:rsidRDefault="00E62F94" w:rsidP="00F10159">
            <w:pPr>
              <w:spacing w:after="0" w:line="240" w:lineRule="auto"/>
              <w:rPr>
                <w:rFonts w:ascii="Times New Roman" w:hAnsi="Times New Roman" w:cs="Times New Roman"/>
                <w:b/>
                <w:color w:val="141414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BFBFBF" w:themeColor="background1" w:themeShade="BF"/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E62F94" w:rsidRPr="00A326A0" w:rsidRDefault="00E62F94" w:rsidP="00F10159">
            <w:pPr>
              <w:pStyle w:val="a4"/>
              <w:spacing w:before="0" w:beforeAutospacing="0" w:after="0" w:afterAutospacing="0"/>
              <w:rPr>
                <w:color w:val="141414"/>
                <w:sz w:val="20"/>
                <w:szCs w:val="20"/>
              </w:rPr>
            </w:pPr>
            <w:r w:rsidRPr="00A326A0">
              <w:rPr>
                <w:color w:val="141414"/>
                <w:sz w:val="20"/>
                <w:szCs w:val="20"/>
              </w:rPr>
              <w:t>ЗЕНИТ</w:t>
            </w:r>
            <w:r w:rsidRPr="00A326A0">
              <w:rPr>
                <w:color w:val="141414"/>
                <w:sz w:val="20"/>
                <w:szCs w:val="20"/>
              </w:rPr>
              <w:br/>
              <w:t>«Пенсионный»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pStyle w:val="a4"/>
              <w:spacing w:before="0" w:beforeAutospacing="0" w:after="0" w:afterAutospacing="0"/>
              <w:rPr>
                <w:color w:val="141414"/>
                <w:sz w:val="20"/>
                <w:szCs w:val="20"/>
              </w:rPr>
            </w:pPr>
            <w:r w:rsidRPr="00A326A0">
              <w:rPr>
                <w:color w:val="141414"/>
                <w:sz w:val="20"/>
                <w:szCs w:val="20"/>
              </w:rPr>
              <w:t>3,30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2036B5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F94" w:rsidRPr="00A326A0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F94" w:rsidRPr="00A326A0" w:rsidRDefault="00E62F94" w:rsidP="00F101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E62F94" w:rsidRPr="00A326A0" w:rsidTr="00F10159">
        <w:trPr>
          <w:tblCellSpacing w:w="0" w:type="dxa"/>
          <w:jc w:val="center"/>
        </w:trPr>
        <w:tc>
          <w:tcPr>
            <w:tcW w:w="4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:rsidR="00E62F94" w:rsidRPr="002036B5" w:rsidRDefault="00E62F94" w:rsidP="00F10159">
            <w:pPr>
              <w:spacing w:after="0" w:line="240" w:lineRule="auto"/>
              <w:rPr>
                <w:rFonts w:ascii="Times New Roman" w:hAnsi="Times New Roman" w:cs="Times New Roman"/>
                <w:b/>
                <w:color w:val="141414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BFBFBF" w:themeColor="background1" w:themeShade="BF"/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E62F94" w:rsidRPr="00A326A0" w:rsidRDefault="00E62F94" w:rsidP="00F10159">
            <w:pPr>
              <w:pStyle w:val="a4"/>
              <w:spacing w:before="0" w:beforeAutospacing="0" w:after="0" w:afterAutospacing="0"/>
              <w:rPr>
                <w:color w:val="141414"/>
                <w:sz w:val="20"/>
                <w:szCs w:val="20"/>
              </w:rPr>
            </w:pPr>
            <w:r w:rsidRPr="00A326A0">
              <w:rPr>
                <w:color w:val="141414"/>
                <w:sz w:val="20"/>
                <w:szCs w:val="20"/>
              </w:rPr>
              <w:t>МОСКОВСКИЙ КРЕДИТНЫЙ БАНК</w:t>
            </w:r>
            <w:r w:rsidRPr="00A326A0">
              <w:rPr>
                <w:color w:val="141414"/>
                <w:sz w:val="20"/>
                <w:szCs w:val="20"/>
              </w:rPr>
              <w:br/>
              <w:t>«Гранд+»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pStyle w:val="a4"/>
              <w:spacing w:before="0" w:beforeAutospacing="0" w:after="0" w:afterAutospacing="0"/>
              <w:rPr>
                <w:color w:val="141414"/>
                <w:sz w:val="20"/>
                <w:szCs w:val="20"/>
              </w:rPr>
            </w:pPr>
            <w:r w:rsidRPr="00A326A0">
              <w:rPr>
                <w:color w:val="141414"/>
                <w:sz w:val="20"/>
                <w:szCs w:val="20"/>
              </w:rPr>
              <w:t>4,40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2036B5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F94" w:rsidRPr="00A326A0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F94" w:rsidRPr="00A326A0" w:rsidRDefault="00E62F94" w:rsidP="00F101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E62F94" w:rsidRPr="00A326A0" w:rsidTr="00F10159">
        <w:trPr>
          <w:tblCellSpacing w:w="0" w:type="dxa"/>
          <w:jc w:val="center"/>
        </w:trPr>
        <w:tc>
          <w:tcPr>
            <w:tcW w:w="4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:rsidR="00E62F94" w:rsidRPr="002036B5" w:rsidRDefault="00E62F94" w:rsidP="00F10159">
            <w:pPr>
              <w:spacing w:after="0" w:line="240" w:lineRule="auto"/>
              <w:rPr>
                <w:rFonts w:ascii="Times New Roman" w:hAnsi="Times New Roman" w:cs="Times New Roman"/>
                <w:b/>
                <w:color w:val="141414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BFBFBF" w:themeColor="background1" w:themeShade="BF"/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E62F94" w:rsidRPr="00A326A0" w:rsidRDefault="00E62F94" w:rsidP="00F10159">
            <w:pPr>
              <w:pStyle w:val="a4"/>
              <w:spacing w:before="0" w:beforeAutospacing="0" w:after="0" w:afterAutospacing="0"/>
              <w:rPr>
                <w:color w:val="141414"/>
                <w:sz w:val="20"/>
                <w:szCs w:val="20"/>
              </w:rPr>
            </w:pPr>
            <w:r w:rsidRPr="00A326A0">
              <w:rPr>
                <w:color w:val="141414"/>
                <w:sz w:val="20"/>
                <w:szCs w:val="20"/>
              </w:rPr>
              <w:t>ОТП БАНК</w:t>
            </w:r>
            <w:r w:rsidRPr="00A326A0">
              <w:rPr>
                <w:color w:val="141414"/>
                <w:sz w:val="20"/>
                <w:szCs w:val="20"/>
              </w:rPr>
              <w:br/>
              <w:t>«Пенсионный»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pStyle w:val="a4"/>
              <w:spacing w:before="0" w:beforeAutospacing="0" w:after="0" w:afterAutospacing="0"/>
              <w:rPr>
                <w:color w:val="141414"/>
                <w:sz w:val="20"/>
                <w:szCs w:val="20"/>
              </w:rPr>
            </w:pPr>
            <w:r w:rsidRPr="00A326A0">
              <w:rPr>
                <w:color w:val="141414"/>
                <w:sz w:val="20"/>
                <w:szCs w:val="20"/>
              </w:rPr>
              <w:t>4,40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2036B5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F94" w:rsidRPr="00A326A0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F94" w:rsidRPr="00A326A0" w:rsidRDefault="00E62F94" w:rsidP="00F101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E62F94" w:rsidRPr="00A326A0" w:rsidTr="00F10159">
        <w:trPr>
          <w:tblCellSpacing w:w="0" w:type="dxa"/>
          <w:jc w:val="center"/>
        </w:trPr>
        <w:tc>
          <w:tcPr>
            <w:tcW w:w="4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:rsidR="00E62F94" w:rsidRPr="002036B5" w:rsidRDefault="00E62F94" w:rsidP="00F10159">
            <w:pPr>
              <w:spacing w:after="0" w:line="240" w:lineRule="auto"/>
              <w:rPr>
                <w:rFonts w:ascii="Times New Roman" w:hAnsi="Times New Roman" w:cs="Times New Roman"/>
                <w:b/>
                <w:color w:val="141414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BFBFBF" w:themeColor="background1" w:themeShade="BF"/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E62F94" w:rsidRPr="00A326A0" w:rsidRDefault="00E62F94" w:rsidP="00F10159">
            <w:pPr>
              <w:pStyle w:val="a4"/>
              <w:spacing w:before="0" w:beforeAutospacing="0" w:after="0" w:afterAutospacing="0"/>
              <w:rPr>
                <w:color w:val="141414"/>
                <w:sz w:val="20"/>
                <w:szCs w:val="20"/>
              </w:rPr>
            </w:pPr>
            <w:r w:rsidRPr="00A326A0">
              <w:rPr>
                <w:color w:val="141414"/>
                <w:sz w:val="20"/>
                <w:szCs w:val="20"/>
              </w:rPr>
              <w:t>ТАТСОЦБАНК</w:t>
            </w:r>
            <w:r w:rsidRPr="00A326A0">
              <w:rPr>
                <w:color w:val="141414"/>
                <w:sz w:val="20"/>
                <w:szCs w:val="20"/>
              </w:rPr>
              <w:br/>
              <w:t>«Новый пенсионный»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pStyle w:val="a4"/>
              <w:spacing w:before="0" w:beforeAutospacing="0" w:after="0" w:afterAutospacing="0"/>
              <w:rPr>
                <w:color w:val="141414"/>
                <w:sz w:val="20"/>
                <w:szCs w:val="20"/>
              </w:rPr>
            </w:pPr>
            <w:r w:rsidRPr="00A326A0">
              <w:rPr>
                <w:color w:val="141414"/>
                <w:sz w:val="20"/>
                <w:szCs w:val="20"/>
              </w:rPr>
              <w:t>3,25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2036B5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F94" w:rsidRPr="00A326A0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F94" w:rsidRPr="00A326A0" w:rsidRDefault="00E62F94" w:rsidP="00F101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E62F94" w:rsidRPr="00A326A0" w:rsidTr="00F10159">
        <w:trPr>
          <w:tblCellSpacing w:w="0" w:type="dxa"/>
          <w:jc w:val="center"/>
        </w:trPr>
        <w:tc>
          <w:tcPr>
            <w:tcW w:w="462" w:type="dxa"/>
            <w:vMerge/>
            <w:tcBorders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:rsidR="00E62F94" w:rsidRPr="002036B5" w:rsidRDefault="00E62F94" w:rsidP="00F10159">
            <w:pPr>
              <w:spacing w:after="0" w:line="240" w:lineRule="auto"/>
              <w:rPr>
                <w:rFonts w:ascii="Times New Roman" w:hAnsi="Times New Roman" w:cs="Times New Roman"/>
                <w:b/>
                <w:color w:val="141414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BFBFBF" w:themeColor="background1" w:themeShade="BF"/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E62F94" w:rsidRPr="00A326A0" w:rsidRDefault="00E62F94" w:rsidP="00F10159">
            <w:pPr>
              <w:pStyle w:val="a4"/>
              <w:spacing w:before="0" w:beforeAutospacing="0" w:after="0" w:afterAutospacing="0"/>
              <w:rPr>
                <w:color w:val="141414"/>
                <w:sz w:val="20"/>
                <w:szCs w:val="20"/>
              </w:rPr>
            </w:pPr>
            <w:r w:rsidRPr="00A326A0">
              <w:rPr>
                <w:color w:val="141414"/>
                <w:sz w:val="20"/>
                <w:szCs w:val="20"/>
              </w:rPr>
              <w:t>ЭНЕРГОБАНК</w:t>
            </w:r>
            <w:r w:rsidRPr="00A326A0">
              <w:rPr>
                <w:color w:val="141414"/>
                <w:sz w:val="20"/>
                <w:szCs w:val="20"/>
              </w:rPr>
              <w:br/>
              <w:t>«Пенсионное настроение»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pStyle w:val="a4"/>
              <w:spacing w:before="0" w:beforeAutospacing="0" w:after="0" w:afterAutospacing="0"/>
              <w:rPr>
                <w:color w:val="141414"/>
                <w:sz w:val="20"/>
                <w:szCs w:val="20"/>
              </w:rPr>
            </w:pPr>
            <w:r w:rsidRPr="00A326A0">
              <w:rPr>
                <w:color w:val="141414"/>
                <w:sz w:val="20"/>
                <w:szCs w:val="20"/>
              </w:rPr>
              <w:t>4,00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2036B5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F94" w:rsidRPr="00A326A0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F94" w:rsidRPr="00A326A0" w:rsidRDefault="00E62F94" w:rsidP="00F101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E62F94" w:rsidRPr="00A326A0" w:rsidTr="00F10159">
        <w:trPr>
          <w:tblCellSpacing w:w="0" w:type="dxa"/>
          <w:jc w:val="center"/>
        </w:trPr>
        <w:tc>
          <w:tcPr>
            <w:tcW w:w="462" w:type="dxa"/>
            <w:vMerge w:val="restart"/>
            <w:tcBorders>
              <w:top w:val="single" w:sz="2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:rsidR="00E62F94" w:rsidRPr="002036B5" w:rsidRDefault="00E62F94" w:rsidP="00F10159">
            <w:pPr>
              <w:pStyle w:val="a4"/>
              <w:spacing w:before="0" w:beforeAutospacing="0" w:after="0" w:afterAutospacing="0"/>
              <w:rPr>
                <w:b/>
                <w:color w:val="141414"/>
                <w:sz w:val="20"/>
                <w:szCs w:val="20"/>
              </w:rPr>
            </w:pPr>
          </w:p>
          <w:p w:rsidR="00E62F94" w:rsidRPr="002036B5" w:rsidRDefault="00E62F94" w:rsidP="00F10159">
            <w:pPr>
              <w:pStyle w:val="a4"/>
              <w:spacing w:before="0" w:beforeAutospacing="0" w:after="0" w:afterAutospacing="0"/>
              <w:rPr>
                <w:b/>
                <w:color w:val="141414"/>
                <w:sz w:val="20"/>
                <w:szCs w:val="20"/>
              </w:rPr>
            </w:pPr>
            <w:r w:rsidRPr="002036B5">
              <w:rPr>
                <w:b/>
                <w:color w:val="141414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2" w:space="0" w:color="BFBFBF" w:themeColor="background1" w:themeShade="BF"/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E62F94" w:rsidRPr="00A326A0" w:rsidRDefault="00E62F94" w:rsidP="00F10159">
            <w:pPr>
              <w:pStyle w:val="a4"/>
              <w:spacing w:before="0" w:beforeAutospacing="0" w:after="0" w:afterAutospacing="0"/>
              <w:rPr>
                <w:color w:val="141414"/>
                <w:sz w:val="20"/>
                <w:szCs w:val="20"/>
              </w:rPr>
            </w:pPr>
            <w:r w:rsidRPr="00A326A0">
              <w:rPr>
                <w:color w:val="141414"/>
                <w:sz w:val="20"/>
                <w:szCs w:val="20"/>
              </w:rPr>
              <w:t>ВТБ</w:t>
            </w:r>
            <w:r w:rsidRPr="00A326A0">
              <w:rPr>
                <w:color w:val="141414"/>
                <w:sz w:val="20"/>
                <w:szCs w:val="20"/>
              </w:rPr>
              <w:br/>
              <w:t>«</w:t>
            </w:r>
            <w:proofErr w:type="gramStart"/>
            <w:r w:rsidRPr="00A326A0">
              <w:rPr>
                <w:color w:val="141414"/>
                <w:sz w:val="20"/>
                <w:szCs w:val="20"/>
              </w:rPr>
              <w:t>Пенсионный</w:t>
            </w:r>
            <w:proofErr w:type="gramEnd"/>
            <w:r w:rsidRPr="00A326A0">
              <w:rPr>
                <w:color w:val="141414"/>
                <w:sz w:val="20"/>
                <w:szCs w:val="20"/>
              </w:rPr>
              <w:t xml:space="preserve"> для военных пенсионеров»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pStyle w:val="a4"/>
              <w:spacing w:before="0" w:beforeAutospacing="0" w:after="0" w:afterAutospacing="0"/>
              <w:rPr>
                <w:color w:val="141414"/>
                <w:sz w:val="20"/>
                <w:szCs w:val="20"/>
              </w:rPr>
            </w:pPr>
            <w:r w:rsidRPr="00A326A0">
              <w:rPr>
                <w:color w:val="141414"/>
                <w:sz w:val="20"/>
                <w:szCs w:val="20"/>
              </w:rPr>
              <w:t>4,17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2036B5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F94" w:rsidRPr="00A326A0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F94" w:rsidRPr="00A326A0" w:rsidRDefault="00E62F94" w:rsidP="00F101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62F94" w:rsidRPr="00A326A0" w:rsidTr="00F10159">
        <w:trPr>
          <w:tblCellSpacing w:w="0" w:type="dxa"/>
          <w:jc w:val="center"/>
        </w:trPr>
        <w:tc>
          <w:tcPr>
            <w:tcW w:w="462" w:type="dxa"/>
            <w:vMerge/>
            <w:tcBorders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:rsidR="00E62F94" w:rsidRPr="002036B5" w:rsidRDefault="00E62F94" w:rsidP="00F10159">
            <w:pPr>
              <w:spacing w:after="0" w:line="240" w:lineRule="auto"/>
              <w:rPr>
                <w:rFonts w:ascii="Times New Roman" w:hAnsi="Times New Roman" w:cs="Times New Roman"/>
                <w:b/>
                <w:color w:val="141414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BFBFBF" w:themeColor="background1" w:themeShade="BF"/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E62F94" w:rsidRPr="00A326A0" w:rsidRDefault="00E62F94" w:rsidP="00F10159">
            <w:pPr>
              <w:pStyle w:val="a4"/>
              <w:spacing w:before="0" w:beforeAutospacing="0" w:after="0" w:afterAutospacing="0"/>
              <w:rPr>
                <w:color w:val="141414"/>
                <w:sz w:val="20"/>
                <w:szCs w:val="20"/>
              </w:rPr>
            </w:pPr>
            <w:r w:rsidRPr="00A326A0">
              <w:rPr>
                <w:color w:val="141414"/>
                <w:sz w:val="20"/>
                <w:szCs w:val="20"/>
              </w:rPr>
              <w:t>ГАЗПРОМБАНК</w:t>
            </w:r>
            <w:r w:rsidRPr="00A326A0">
              <w:rPr>
                <w:color w:val="141414"/>
                <w:sz w:val="20"/>
                <w:szCs w:val="20"/>
              </w:rPr>
              <w:br/>
              <w:t>«Газпромбанк – Пенсионный доход»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pStyle w:val="a4"/>
              <w:spacing w:before="0" w:beforeAutospacing="0" w:after="0" w:afterAutospacing="0"/>
              <w:rPr>
                <w:color w:val="141414"/>
                <w:sz w:val="20"/>
                <w:szCs w:val="20"/>
              </w:rPr>
            </w:pPr>
            <w:r w:rsidRPr="00A326A0">
              <w:rPr>
                <w:color w:val="141414"/>
                <w:sz w:val="20"/>
                <w:szCs w:val="20"/>
              </w:rPr>
              <w:t>2,60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2036B5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F94" w:rsidRPr="00A326A0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F94" w:rsidRPr="00A326A0" w:rsidRDefault="00E62F94" w:rsidP="00F101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E62F94" w:rsidRPr="00A326A0" w:rsidTr="00F10159">
        <w:trPr>
          <w:tblCellSpacing w:w="0" w:type="dxa"/>
          <w:jc w:val="center"/>
        </w:trPr>
        <w:tc>
          <w:tcPr>
            <w:tcW w:w="462" w:type="dxa"/>
            <w:tcBorders>
              <w:top w:val="single" w:sz="2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:rsidR="00E62F94" w:rsidRPr="002036B5" w:rsidRDefault="00E62F94" w:rsidP="00F10159">
            <w:pPr>
              <w:pStyle w:val="a4"/>
              <w:spacing w:before="0" w:beforeAutospacing="0" w:after="0" w:afterAutospacing="0"/>
              <w:rPr>
                <w:b/>
                <w:color w:val="141414"/>
                <w:sz w:val="20"/>
                <w:szCs w:val="20"/>
              </w:rPr>
            </w:pPr>
            <w:r w:rsidRPr="002036B5">
              <w:rPr>
                <w:b/>
                <w:color w:val="141414"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2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F94" w:rsidRPr="00A326A0" w:rsidRDefault="00E62F94" w:rsidP="00F10159">
            <w:pPr>
              <w:pStyle w:val="a4"/>
              <w:spacing w:before="0" w:beforeAutospacing="0" w:after="0" w:afterAutospacing="0"/>
              <w:rPr>
                <w:color w:val="141414"/>
                <w:sz w:val="20"/>
                <w:szCs w:val="20"/>
              </w:rPr>
            </w:pPr>
            <w:r w:rsidRPr="00A326A0">
              <w:rPr>
                <w:color w:val="141414"/>
                <w:sz w:val="20"/>
                <w:szCs w:val="20"/>
              </w:rPr>
              <w:t>НОВИКОМБАНК</w:t>
            </w:r>
            <w:r w:rsidRPr="00A326A0">
              <w:rPr>
                <w:color w:val="141414"/>
                <w:sz w:val="20"/>
                <w:szCs w:val="20"/>
              </w:rPr>
              <w:br/>
              <w:t>«Пенсионный Капитал»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pStyle w:val="a4"/>
              <w:spacing w:before="0" w:beforeAutospacing="0" w:after="0" w:afterAutospacing="0"/>
              <w:rPr>
                <w:color w:val="141414"/>
                <w:sz w:val="20"/>
                <w:szCs w:val="20"/>
              </w:rPr>
            </w:pPr>
            <w:r w:rsidRPr="00A326A0">
              <w:rPr>
                <w:color w:val="141414"/>
                <w:sz w:val="20"/>
                <w:szCs w:val="20"/>
              </w:rPr>
              <w:t>4,05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2036B5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F94" w:rsidRPr="00A326A0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2F94" w:rsidRPr="00A326A0" w:rsidRDefault="00E62F94" w:rsidP="00F101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F94" w:rsidRPr="00A326A0" w:rsidRDefault="00E62F94" w:rsidP="00F101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</w:tbl>
    <w:p w:rsidR="00E62F94" w:rsidRPr="00E62F94" w:rsidRDefault="00E62F94" w:rsidP="000737D2">
      <w:pPr>
        <w:jc w:val="center"/>
        <w:rPr>
          <w:rFonts w:cs="Arial"/>
          <w:b/>
          <w:sz w:val="24"/>
          <w:szCs w:val="24"/>
          <w:lang w:val="en-US"/>
        </w:rPr>
      </w:pPr>
    </w:p>
    <w:p w:rsidR="00E62F94" w:rsidRPr="00E62F94" w:rsidRDefault="00E62F94" w:rsidP="00E62F94">
      <w:pPr>
        <w:rPr>
          <w:rFonts w:eastAsia="Times New Roman" w:cs="Times New Roman"/>
          <w:b/>
          <w:bCs/>
          <w:color w:val="141414"/>
          <w:sz w:val="20"/>
          <w:szCs w:val="20"/>
          <w:lang w:eastAsia="ru-RU"/>
        </w:rPr>
      </w:pPr>
      <w:r w:rsidRPr="00E62F94">
        <w:rPr>
          <w:rFonts w:eastAsia="Times New Roman" w:cs="Times New Roman"/>
          <w:b/>
          <w:bCs/>
          <w:color w:val="141414"/>
          <w:sz w:val="20"/>
          <w:szCs w:val="20"/>
          <w:lang w:eastAsia="ru-RU"/>
        </w:rPr>
        <w:t>Критерии оценки рейтинга:</w:t>
      </w:r>
    </w:p>
    <w:p w:rsidR="00E62F94" w:rsidRPr="00E62F94" w:rsidRDefault="00E62F94" w:rsidP="00E62F94">
      <w:pPr>
        <w:spacing w:after="100" w:line="240" w:lineRule="auto"/>
        <w:rPr>
          <w:rFonts w:eastAsia="Times New Roman" w:cs="Times New Roman"/>
          <w:color w:val="141414"/>
          <w:sz w:val="20"/>
          <w:szCs w:val="20"/>
          <w:lang w:eastAsia="ru-RU"/>
        </w:rPr>
      </w:pPr>
      <w:r w:rsidRPr="00E62F94">
        <w:rPr>
          <w:rFonts w:eastAsia="Times New Roman" w:cs="Times New Roman"/>
          <w:color w:val="141414"/>
          <w:sz w:val="20"/>
          <w:szCs w:val="20"/>
          <w:lang w:eastAsia="ru-RU"/>
        </w:rPr>
        <w:t>Диапазон оценки критериев варьировался от нуля (минимальное значение) до четырех (максимальное значение) баллов. </w:t>
      </w:r>
      <w:r w:rsidRPr="00E62F94">
        <w:rPr>
          <w:rFonts w:eastAsia="Times New Roman" w:cs="Times New Roman"/>
          <w:color w:val="141414"/>
          <w:sz w:val="20"/>
          <w:szCs w:val="20"/>
          <w:lang w:eastAsia="ru-RU"/>
        </w:rPr>
        <w:br/>
      </w:r>
      <w:r w:rsidRPr="00E62F94">
        <w:rPr>
          <w:rFonts w:eastAsia="Times New Roman" w:cs="Times New Roman"/>
          <w:color w:val="141414"/>
          <w:sz w:val="20"/>
          <w:szCs w:val="20"/>
          <w:lang w:eastAsia="ru-RU"/>
        </w:rPr>
        <w:br/>
      </w:r>
      <w:r w:rsidRPr="00E62F94">
        <w:rPr>
          <w:rFonts w:eastAsia="Times New Roman" w:cs="Times New Roman"/>
          <w:b/>
          <w:color w:val="141414"/>
          <w:sz w:val="20"/>
          <w:szCs w:val="20"/>
          <w:lang w:eastAsia="ru-RU"/>
        </w:rPr>
        <w:t>1. </w:t>
      </w:r>
      <w:proofErr w:type="gramStart"/>
      <w:r w:rsidRPr="00E62F94">
        <w:rPr>
          <w:rFonts w:eastAsia="Times New Roman" w:cs="Times New Roman"/>
          <w:b/>
          <w:bCs/>
          <w:color w:val="141414"/>
          <w:sz w:val="20"/>
          <w:szCs w:val="20"/>
          <w:lang w:eastAsia="ru-RU"/>
        </w:rPr>
        <w:t>Величина процентной ставки в рублях</w:t>
      </w:r>
      <w:r w:rsidRPr="00E62F94">
        <w:rPr>
          <w:rFonts w:eastAsia="Times New Roman" w:cs="Times New Roman"/>
          <w:color w:val="141414"/>
          <w:sz w:val="20"/>
          <w:szCs w:val="20"/>
          <w:lang w:eastAsia="ru-RU"/>
        </w:rPr>
        <w:t> (средняя составляет 3,99% годовых): </w:t>
      </w:r>
      <w:proofErr w:type="gramEnd"/>
    </w:p>
    <w:p w:rsidR="00E62F94" w:rsidRPr="00E62F94" w:rsidRDefault="00E62F94" w:rsidP="00E62F94">
      <w:pPr>
        <w:spacing w:after="100" w:line="240" w:lineRule="auto"/>
        <w:rPr>
          <w:rFonts w:eastAsia="Times New Roman" w:cs="Times New Roman"/>
          <w:color w:val="141414"/>
          <w:sz w:val="20"/>
          <w:szCs w:val="20"/>
          <w:lang w:eastAsia="ru-RU"/>
        </w:rPr>
      </w:pPr>
    </w:p>
    <w:p w:rsidR="00E62F94" w:rsidRPr="00E62F94" w:rsidRDefault="00E62F94" w:rsidP="00E62F94">
      <w:pPr>
        <w:numPr>
          <w:ilvl w:val="0"/>
          <w:numId w:val="5"/>
        </w:numPr>
        <w:spacing w:after="100" w:line="240" w:lineRule="auto"/>
        <w:ind w:left="0"/>
        <w:rPr>
          <w:rFonts w:eastAsia="Times New Roman" w:cs="Times New Roman"/>
          <w:color w:val="141414"/>
          <w:sz w:val="20"/>
          <w:szCs w:val="20"/>
          <w:lang w:eastAsia="ru-RU"/>
        </w:rPr>
      </w:pPr>
      <w:r w:rsidRPr="00E62F94">
        <w:rPr>
          <w:rFonts w:eastAsia="Times New Roman" w:cs="Times New Roman"/>
          <w:color w:val="141414"/>
          <w:sz w:val="20"/>
          <w:szCs w:val="20"/>
          <w:lang w:eastAsia="ru-RU"/>
        </w:rPr>
        <w:t xml:space="preserve">0 баллов - ниже </w:t>
      </w:r>
      <w:proofErr w:type="gramStart"/>
      <w:r w:rsidRPr="00E62F94">
        <w:rPr>
          <w:rFonts w:eastAsia="Times New Roman" w:cs="Times New Roman"/>
          <w:color w:val="141414"/>
          <w:sz w:val="20"/>
          <w:szCs w:val="20"/>
          <w:lang w:eastAsia="ru-RU"/>
        </w:rPr>
        <w:t>средней</w:t>
      </w:r>
      <w:proofErr w:type="gramEnd"/>
      <w:r w:rsidRPr="00E62F94">
        <w:rPr>
          <w:rFonts w:eastAsia="Times New Roman" w:cs="Times New Roman"/>
          <w:color w:val="141414"/>
          <w:sz w:val="20"/>
          <w:szCs w:val="20"/>
          <w:lang w:eastAsia="ru-RU"/>
        </w:rPr>
        <w:t>; </w:t>
      </w:r>
    </w:p>
    <w:p w:rsidR="00E62F94" w:rsidRPr="00E62F94" w:rsidRDefault="00E62F94" w:rsidP="00E62F94">
      <w:pPr>
        <w:numPr>
          <w:ilvl w:val="0"/>
          <w:numId w:val="5"/>
        </w:numPr>
        <w:spacing w:after="100" w:line="240" w:lineRule="auto"/>
        <w:ind w:left="0"/>
        <w:rPr>
          <w:rFonts w:eastAsia="Times New Roman" w:cs="Times New Roman"/>
          <w:color w:val="141414"/>
          <w:sz w:val="20"/>
          <w:szCs w:val="20"/>
          <w:lang w:eastAsia="ru-RU"/>
        </w:rPr>
      </w:pPr>
      <w:r w:rsidRPr="00E62F94">
        <w:rPr>
          <w:rFonts w:eastAsia="Times New Roman" w:cs="Times New Roman"/>
          <w:color w:val="141414"/>
          <w:sz w:val="20"/>
          <w:szCs w:val="20"/>
          <w:lang w:eastAsia="ru-RU"/>
        </w:rPr>
        <w:lastRenderedPageBreak/>
        <w:t xml:space="preserve">2 балла - приблизительно </w:t>
      </w:r>
      <w:proofErr w:type="gramStart"/>
      <w:r w:rsidRPr="00E62F94">
        <w:rPr>
          <w:rFonts w:eastAsia="Times New Roman" w:cs="Times New Roman"/>
          <w:color w:val="141414"/>
          <w:sz w:val="20"/>
          <w:szCs w:val="20"/>
          <w:lang w:eastAsia="ru-RU"/>
        </w:rPr>
        <w:t>равна</w:t>
      </w:r>
      <w:proofErr w:type="gramEnd"/>
      <w:r w:rsidRPr="00E62F94">
        <w:rPr>
          <w:rFonts w:eastAsia="Times New Roman" w:cs="Times New Roman"/>
          <w:color w:val="141414"/>
          <w:sz w:val="20"/>
          <w:szCs w:val="20"/>
          <w:lang w:eastAsia="ru-RU"/>
        </w:rPr>
        <w:t xml:space="preserve"> средней (±0,5%); </w:t>
      </w:r>
    </w:p>
    <w:p w:rsidR="00E62F94" w:rsidRPr="00E62F94" w:rsidRDefault="00E62F94" w:rsidP="00E62F94">
      <w:pPr>
        <w:numPr>
          <w:ilvl w:val="0"/>
          <w:numId w:val="5"/>
        </w:numPr>
        <w:spacing w:after="100" w:line="240" w:lineRule="auto"/>
        <w:ind w:left="0"/>
        <w:rPr>
          <w:rFonts w:eastAsia="Times New Roman" w:cs="Times New Roman"/>
          <w:color w:val="141414"/>
          <w:sz w:val="20"/>
          <w:szCs w:val="20"/>
          <w:lang w:eastAsia="ru-RU"/>
        </w:rPr>
      </w:pPr>
      <w:r w:rsidRPr="00E62F94">
        <w:rPr>
          <w:rFonts w:eastAsia="Times New Roman" w:cs="Times New Roman"/>
          <w:color w:val="141414"/>
          <w:sz w:val="20"/>
          <w:szCs w:val="20"/>
          <w:lang w:eastAsia="ru-RU"/>
        </w:rPr>
        <w:t>4 балла - выше средней ставки. </w:t>
      </w:r>
    </w:p>
    <w:p w:rsidR="00E62F94" w:rsidRPr="00E62F94" w:rsidRDefault="00E62F94" w:rsidP="00E62F94">
      <w:pPr>
        <w:spacing w:after="100" w:line="240" w:lineRule="auto"/>
        <w:rPr>
          <w:rFonts w:eastAsia="Times New Roman" w:cs="Times New Roman"/>
          <w:color w:val="141414"/>
          <w:sz w:val="20"/>
          <w:szCs w:val="20"/>
          <w:lang w:eastAsia="ru-RU"/>
        </w:rPr>
      </w:pPr>
    </w:p>
    <w:p w:rsidR="00E62F94" w:rsidRPr="00E62F94" w:rsidRDefault="00E62F94" w:rsidP="00E62F94">
      <w:pPr>
        <w:spacing w:after="100" w:line="240" w:lineRule="auto"/>
        <w:rPr>
          <w:rFonts w:eastAsia="Times New Roman" w:cs="Times New Roman"/>
          <w:color w:val="141414"/>
          <w:sz w:val="20"/>
          <w:szCs w:val="20"/>
          <w:lang w:eastAsia="ru-RU"/>
        </w:rPr>
      </w:pPr>
      <w:r w:rsidRPr="00E62F94">
        <w:rPr>
          <w:rFonts w:eastAsia="Times New Roman" w:cs="Times New Roman"/>
          <w:b/>
          <w:color w:val="141414"/>
          <w:sz w:val="20"/>
          <w:szCs w:val="20"/>
          <w:lang w:eastAsia="ru-RU"/>
        </w:rPr>
        <w:t>2. </w:t>
      </w:r>
      <w:r w:rsidRPr="00E62F94">
        <w:rPr>
          <w:rFonts w:eastAsia="Times New Roman" w:cs="Times New Roman"/>
          <w:b/>
          <w:bCs/>
          <w:color w:val="141414"/>
          <w:sz w:val="20"/>
          <w:szCs w:val="20"/>
          <w:lang w:eastAsia="ru-RU"/>
        </w:rPr>
        <w:t>Возможность капитализации процентов:</w:t>
      </w:r>
      <w:r w:rsidRPr="00E62F94">
        <w:rPr>
          <w:rFonts w:eastAsia="Times New Roman" w:cs="Times New Roman"/>
          <w:color w:val="141414"/>
          <w:sz w:val="20"/>
          <w:szCs w:val="20"/>
          <w:lang w:eastAsia="ru-RU"/>
        </w:rPr>
        <w:t> </w:t>
      </w:r>
      <w:r w:rsidRPr="00E62F94">
        <w:rPr>
          <w:rFonts w:eastAsia="Times New Roman" w:cs="Times New Roman"/>
          <w:color w:val="141414"/>
          <w:sz w:val="20"/>
          <w:szCs w:val="20"/>
          <w:lang w:eastAsia="ru-RU"/>
        </w:rPr>
        <w:br/>
      </w:r>
    </w:p>
    <w:p w:rsidR="00E62F94" w:rsidRPr="00E62F94" w:rsidRDefault="00E62F94" w:rsidP="00E62F94">
      <w:pPr>
        <w:numPr>
          <w:ilvl w:val="0"/>
          <w:numId w:val="5"/>
        </w:numPr>
        <w:spacing w:after="100" w:line="240" w:lineRule="auto"/>
        <w:ind w:left="0"/>
        <w:rPr>
          <w:rFonts w:eastAsia="Times New Roman" w:cs="Times New Roman"/>
          <w:color w:val="141414"/>
          <w:sz w:val="20"/>
          <w:szCs w:val="20"/>
          <w:lang w:eastAsia="ru-RU"/>
        </w:rPr>
      </w:pPr>
      <w:r w:rsidRPr="00E62F94">
        <w:rPr>
          <w:rFonts w:eastAsia="Times New Roman" w:cs="Times New Roman"/>
          <w:color w:val="141414"/>
          <w:sz w:val="20"/>
          <w:szCs w:val="20"/>
          <w:lang w:eastAsia="ru-RU"/>
        </w:rPr>
        <w:t>0 баллов - проценты не капитализируются; </w:t>
      </w:r>
    </w:p>
    <w:p w:rsidR="00E62F94" w:rsidRPr="00E62F94" w:rsidRDefault="00E62F94" w:rsidP="00E62F94">
      <w:pPr>
        <w:numPr>
          <w:ilvl w:val="0"/>
          <w:numId w:val="5"/>
        </w:numPr>
        <w:spacing w:after="100" w:line="240" w:lineRule="auto"/>
        <w:ind w:left="0"/>
        <w:rPr>
          <w:rFonts w:eastAsia="Times New Roman" w:cs="Times New Roman"/>
          <w:color w:val="141414"/>
          <w:sz w:val="20"/>
          <w:szCs w:val="20"/>
          <w:lang w:eastAsia="ru-RU"/>
        </w:rPr>
      </w:pPr>
      <w:r w:rsidRPr="00E62F94">
        <w:rPr>
          <w:rFonts w:eastAsia="Times New Roman" w:cs="Times New Roman"/>
          <w:color w:val="141414"/>
          <w:sz w:val="20"/>
          <w:szCs w:val="20"/>
          <w:lang w:eastAsia="ru-RU"/>
        </w:rPr>
        <w:t>1 балл - проценты капитализируются. </w:t>
      </w:r>
    </w:p>
    <w:p w:rsidR="00E62F94" w:rsidRPr="00E62F94" w:rsidRDefault="00E62F94" w:rsidP="00E62F94">
      <w:pPr>
        <w:spacing w:after="100" w:line="240" w:lineRule="auto"/>
        <w:rPr>
          <w:rFonts w:eastAsia="Times New Roman" w:cs="Times New Roman"/>
          <w:color w:val="141414"/>
          <w:sz w:val="20"/>
          <w:szCs w:val="20"/>
          <w:lang w:eastAsia="ru-RU"/>
        </w:rPr>
      </w:pPr>
    </w:p>
    <w:p w:rsidR="00E62F94" w:rsidRPr="00E62F94" w:rsidRDefault="00E62F94" w:rsidP="00E62F94">
      <w:pPr>
        <w:spacing w:after="100" w:line="240" w:lineRule="auto"/>
        <w:rPr>
          <w:rFonts w:eastAsia="Times New Roman" w:cs="Times New Roman"/>
          <w:color w:val="141414"/>
          <w:sz w:val="20"/>
          <w:szCs w:val="20"/>
          <w:lang w:eastAsia="ru-RU"/>
        </w:rPr>
      </w:pPr>
      <w:r w:rsidRPr="00E62F94">
        <w:rPr>
          <w:rFonts w:eastAsia="Times New Roman" w:cs="Times New Roman"/>
          <w:b/>
          <w:color w:val="141414"/>
          <w:sz w:val="20"/>
          <w:szCs w:val="20"/>
          <w:lang w:eastAsia="ru-RU"/>
        </w:rPr>
        <w:t>3. </w:t>
      </w:r>
      <w:r w:rsidRPr="00E62F94">
        <w:rPr>
          <w:rFonts w:eastAsia="Times New Roman" w:cs="Times New Roman"/>
          <w:b/>
          <w:bCs/>
          <w:color w:val="141414"/>
          <w:sz w:val="20"/>
          <w:szCs w:val="20"/>
          <w:lang w:eastAsia="ru-RU"/>
        </w:rPr>
        <w:t>Возможность совершения операций по вкладу</w:t>
      </w:r>
      <w:r w:rsidRPr="00E62F94">
        <w:rPr>
          <w:rFonts w:eastAsia="Times New Roman" w:cs="Times New Roman"/>
          <w:color w:val="141414"/>
          <w:sz w:val="20"/>
          <w:szCs w:val="20"/>
          <w:lang w:eastAsia="ru-RU"/>
        </w:rPr>
        <w:t> (пополнение, расходные операции): </w:t>
      </w:r>
      <w:r w:rsidRPr="00E62F94">
        <w:rPr>
          <w:rFonts w:eastAsia="Times New Roman" w:cs="Times New Roman"/>
          <w:color w:val="141414"/>
          <w:sz w:val="20"/>
          <w:szCs w:val="20"/>
          <w:lang w:eastAsia="ru-RU"/>
        </w:rPr>
        <w:br/>
      </w:r>
    </w:p>
    <w:p w:rsidR="00E62F94" w:rsidRPr="00E62F94" w:rsidRDefault="00E62F94" w:rsidP="00E62F94">
      <w:pPr>
        <w:numPr>
          <w:ilvl w:val="0"/>
          <w:numId w:val="5"/>
        </w:numPr>
        <w:spacing w:after="100" w:line="240" w:lineRule="auto"/>
        <w:ind w:left="0"/>
        <w:rPr>
          <w:rFonts w:eastAsia="Times New Roman" w:cs="Times New Roman"/>
          <w:color w:val="141414"/>
          <w:sz w:val="20"/>
          <w:szCs w:val="20"/>
          <w:lang w:eastAsia="ru-RU"/>
        </w:rPr>
      </w:pPr>
      <w:r w:rsidRPr="00E62F94">
        <w:rPr>
          <w:rFonts w:eastAsia="Times New Roman" w:cs="Times New Roman"/>
          <w:color w:val="141414"/>
          <w:sz w:val="20"/>
          <w:szCs w:val="20"/>
          <w:lang w:eastAsia="ru-RU"/>
        </w:rPr>
        <w:t>0 баллов – не доступен ни один тип операций из перечисленных; </w:t>
      </w:r>
    </w:p>
    <w:p w:rsidR="00E62F94" w:rsidRPr="00E62F94" w:rsidRDefault="00E62F94" w:rsidP="00E62F94">
      <w:pPr>
        <w:numPr>
          <w:ilvl w:val="0"/>
          <w:numId w:val="5"/>
        </w:numPr>
        <w:spacing w:after="100" w:line="240" w:lineRule="auto"/>
        <w:ind w:left="0"/>
        <w:rPr>
          <w:rFonts w:eastAsia="Times New Roman" w:cs="Times New Roman"/>
          <w:color w:val="141414"/>
          <w:sz w:val="20"/>
          <w:szCs w:val="20"/>
          <w:lang w:eastAsia="ru-RU"/>
        </w:rPr>
      </w:pPr>
      <w:r w:rsidRPr="00E62F94">
        <w:rPr>
          <w:rFonts w:eastAsia="Times New Roman" w:cs="Times New Roman"/>
          <w:color w:val="141414"/>
          <w:sz w:val="20"/>
          <w:szCs w:val="20"/>
          <w:lang w:eastAsia="ru-RU"/>
        </w:rPr>
        <w:t>1 балл – доступен один тип операций;</w:t>
      </w:r>
    </w:p>
    <w:p w:rsidR="00E62F94" w:rsidRPr="00E62F94" w:rsidRDefault="00E62F94" w:rsidP="00E62F94">
      <w:pPr>
        <w:numPr>
          <w:ilvl w:val="0"/>
          <w:numId w:val="5"/>
        </w:numPr>
        <w:spacing w:after="100" w:line="240" w:lineRule="auto"/>
        <w:ind w:left="0"/>
        <w:rPr>
          <w:rFonts w:eastAsia="Times New Roman" w:cs="Times New Roman"/>
          <w:color w:val="141414"/>
          <w:sz w:val="20"/>
          <w:szCs w:val="20"/>
          <w:lang w:eastAsia="ru-RU"/>
        </w:rPr>
      </w:pPr>
      <w:r w:rsidRPr="00E62F94">
        <w:rPr>
          <w:rFonts w:eastAsia="Times New Roman" w:cs="Times New Roman"/>
          <w:color w:val="141414"/>
          <w:sz w:val="20"/>
          <w:szCs w:val="20"/>
          <w:lang w:eastAsia="ru-RU"/>
        </w:rPr>
        <w:t>2 балла – доступны оба типа операций.</w:t>
      </w:r>
    </w:p>
    <w:p w:rsidR="00E62F94" w:rsidRPr="00E62F94" w:rsidRDefault="00E62F94" w:rsidP="00E62F94">
      <w:pPr>
        <w:spacing w:after="100" w:line="240" w:lineRule="auto"/>
        <w:rPr>
          <w:rFonts w:eastAsia="Times New Roman" w:cs="Times New Roman"/>
          <w:color w:val="141414"/>
          <w:sz w:val="20"/>
          <w:szCs w:val="20"/>
          <w:lang w:eastAsia="ru-RU"/>
        </w:rPr>
      </w:pPr>
    </w:p>
    <w:p w:rsidR="00E62F94" w:rsidRPr="00E62F94" w:rsidRDefault="00E62F94" w:rsidP="00E62F94">
      <w:pPr>
        <w:spacing w:after="100" w:line="240" w:lineRule="auto"/>
        <w:rPr>
          <w:rFonts w:eastAsia="Times New Roman" w:cs="Times New Roman"/>
          <w:color w:val="141414"/>
          <w:sz w:val="20"/>
          <w:szCs w:val="20"/>
          <w:lang w:eastAsia="ru-RU"/>
        </w:rPr>
      </w:pPr>
      <w:r w:rsidRPr="00E62F94">
        <w:rPr>
          <w:rFonts w:eastAsia="Times New Roman" w:cs="Times New Roman"/>
          <w:b/>
          <w:color w:val="141414"/>
          <w:sz w:val="20"/>
          <w:szCs w:val="20"/>
          <w:lang w:eastAsia="ru-RU"/>
        </w:rPr>
        <w:t>4. </w:t>
      </w:r>
      <w:r w:rsidRPr="00E62F94">
        <w:rPr>
          <w:rFonts w:eastAsia="Times New Roman" w:cs="Times New Roman"/>
          <w:b/>
          <w:bCs/>
          <w:color w:val="141414"/>
          <w:sz w:val="20"/>
          <w:szCs w:val="20"/>
          <w:lang w:eastAsia="ru-RU"/>
        </w:rPr>
        <w:t>Возможность досрочного расторжения договора на льготных условиях</w:t>
      </w:r>
      <w:r w:rsidRPr="00E62F94">
        <w:rPr>
          <w:rFonts w:eastAsia="Times New Roman" w:cs="Times New Roman"/>
          <w:color w:val="141414"/>
          <w:sz w:val="20"/>
          <w:szCs w:val="20"/>
          <w:lang w:eastAsia="ru-RU"/>
        </w:rPr>
        <w:t xml:space="preserve"> (процентная ставка выше значения 1% годовых): </w:t>
      </w:r>
    </w:p>
    <w:p w:rsidR="00E62F94" w:rsidRPr="00E62F94" w:rsidRDefault="00E62F94" w:rsidP="00E62F94">
      <w:pPr>
        <w:spacing w:after="100" w:line="240" w:lineRule="auto"/>
        <w:rPr>
          <w:rFonts w:eastAsia="Times New Roman" w:cs="Times New Roman"/>
          <w:color w:val="141414"/>
          <w:sz w:val="20"/>
          <w:szCs w:val="20"/>
          <w:lang w:eastAsia="ru-RU"/>
        </w:rPr>
      </w:pPr>
      <w:r w:rsidRPr="00E62F94">
        <w:rPr>
          <w:rFonts w:eastAsia="Times New Roman" w:cs="Times New Roman"/>
          <w:color w:val="141414"/>
          <w:sz w:val="20"/>
          <w:szCs w:val="20"/>
          <w:lang w:eastAsia="ru-RU"/>
        </w:rPr>
        <w:t> </w:t>
      </w:r>
    </w:p>
    <w:p w:rsidR="00E62F94" w:rsidRPr="00E62F94" w:rsidRDefault="00E62F94" w:rsidP="00E62F94">
      <w:pPr>
        <w:numPr>
          <w:ilvl w:val="0"/>
          <w:numId w:val="5"/>
        </w:numPr>
        <w:spacing w:after="100" w:line="240" w:lineRule="auto"/>
        <w:ind w:left="0"/>
        <w:rPr>
          <w:rFonts w:eastAsia="Times New Roman" w:cs="Times New Roman"/>
          <w:color w:val="141414"/>
          <w:sz w:val="20"/>
          <w:szCs w:val="20"/>
          <w:lang w:eastAsia="ru-RU"/>
        </w:rPr>
      </w:pPr>
      <w:r w:rsidRPr="00E62F94">
        <w:rPr>
          <w:rFonts w:eastAsia="Times New Roman" w:cs="Times New Roman"/>
          <w:color w:val="141414"/>
          <w:sz w:val="20"/>
          <w:szCs w:val="20"/>
          <w:lang w:eastAsia="ru-RU"/>
        </w:rPr>
        <w:t>0 баллов - льготная процентная ставка при досрочном расторжении договора не применяется; </w:t>
      </w:r>
    </w:p>
    <w:p w:rsidR="00E62F94" w:rsidRPr="00E62F94" w:rsidRDefault="00E62F94" w:rsidP="00E62F94">
      <w:pPr>
        <w:numPr>
          <w:ilvl w:val="0"/>
          <w:numId w:val="5"/>
        </w:numPr>
        <w:spacing w:after="100" w:line="240" w:lineRule="auto"/>
        <w:ind w:left="0"/>
        <w:rPr>
          <w:rFonts w:eastAsia="Times New Roman" w:cs="Times New Roman"/>
          <w:color w:val="141414"/>
          <w:sz w:val="20"/>
          <w:szCs w:val="20"/>
          <w:lang w:eastAsia="ru-RU"/>
        </w:rPr>
      </w:pPr>
      <w:r w:rsidRPr="00E62F94">
        <w:rPr>
          <w:rFonts w:eastAsia="Times New Roman" w:cs="Times New Roman"/>
          <w:color w:val="141414"/>
          <w:sz w:val="20"/>
          <w:szCs w:val="20"/>
          <w:lang w:eastAsia="ru-RU"/>
        </w:rPr>
        <w:t>0,5 балла - действует льготная процентная ставка при досрочном расторжении договора. </w:t>
      </w:r>
    </w:p>
    <w:p w:rsidR="00E62F94" w:rsidRPr="00E62F94" w:rsidRDefault="00E62F94" w:rsidP="00E62F94">
      <w:pPr>
        <w:spacing w:after="100" w:line="240" w:lineRule="auto"/>
        <w:rPr>
          <w:rFonts w:eastAsia="Times New Roman" w:cs="Times New Roman"/>
          <w:color w:val="141414"/>
          <w:sz w:val="20"/>
          <w:szCs w:val="20"/>
          <w:lang w:eastAsia="ru-RU"/>
        </w:rPr>
      </w:pPr>
    </w:p>
    <w:p w:rsidR="00E62F94" w:rsidRPr="00E62F94" w:rsidRDefault="00E62F94" w:rsidP="00E62F94">
      <w:pPr>
        <w:spacing w:after="100" w:line="240" w:lineRule="auto"/>
        <w:rPr>
          <w:rFonts w:eastAsia="Times New Roman" w:cs="Times New Roman"/>
          <w:b/>
          <w:color w:val="141414"/>
          <w:sz w:val="20"/>
          <w:szCs w:val="20"/>
          <w:lang w:eastAsia="ru-RU"/>
        </w:rPr>
      </w:pPr>
      <w:r>
        <w:rPr>
          <w:rFonts w:eastAsia="Times New Roman" w:cs="Times New Roman"/>
          <w:b/>
          <w:color w:val="141414"/>
          <w:sz w:val="20"/>
          <w:szCs w:val="20"/>
          <w:lang w:val="en-US" w:eastAsia="ru-RU"/>
        </w:rPr>
        <w:t>5</w:t>
      </w:r>
      <w:r w:rsidRPr="00E62F94">
        <w:rPr>
          <w:rFonts w:eastAsia="Times New Roman" w:cs="Times New Roman"/>
          <w:b/>
          <w:color w:val="141414"/>
          <w:sz w:val="20"/>
          <w:szCs w:val="20"/>
          <w:lang w:eastAsia="ru-RU"/>
        </w:rPr>
        <w:t>. Возможность пролонгации вклада:</w:t>
      </w:r>
    </w:p>
    <w:p w:rsidR="00E62F94" w:rsidRPr="00E62F94" w:rsidRDefault="00E62F94" w:rsidP="00E62F94">
      <w:pPr>
        <w:spacing w:after="100" w:line="240" w:lineRule="auto"/>
        <w:rPr>
          <w:rFonts w:eastAsia="Times New Roman" w:cs="Times New Roman"/>
          <w:b/>
          <w:color w:val="141414"/>
          <w:sz w:val="20"/>
          <w:szCs w:val="20"/>
          <w:lang w:eastAsia="ru-RU"/>
        </w:rPr>
      </w:pPr>
    </w:p>
    <w:p w:rsidR="00E62F94" w:rsidRPr="00E62F94" w:rsidRDefault="00E62F94" w:rsidP="00E62F94">
      <w:pPr>
        <w:numPr>
          <w:ilvl w:val="0"/>
          <w:numId w:val="5"/>
        </w:numPr>
        <w:spacing w:after="100" w:line="240" w:lineRule="auto"/>
        <w:ind w:left="0"/>
        <w:rPr>
          <w:rFonts w:eastAsia="Times New Roman" w:cs="Times New Roman"/>
          <w:color w:val="141414"/>
          <w:sz w:val="20"/>
          <w:szCs w:val="20"/>
          <w:lang w:eastAsia="ru-RU"/>
        </w:rPr>
      </w:pPr>
      <w:r w:rsidRPr="00E62F94">
        <w:rPr>
          <w:rFonts w:eastAsia="Times New Roman" w:cs="Times New Roman"/>
          <w:color w:val="141414"/>
          <w:sz w:val="20"/>
          <w:szCs w:val="20"/>
          <w:lang w:eastAsia="ru-RU"/>
        </w:rPr>
        <w:t>0 баллов – возможность не предусмотрена; </w:t>
      </w:r>
    </w:p>
    <w:p w:rsidR="00E62F94" w:rsidRPr="00E62F94" w:rsidRDefault="00E62F94" w:rsidP="00E62F94">
      <w:pPr>
        <w:numPr>
          <w:ilvl w:val="0"/>
          <w:numId w:val="5"/>
        </w:numPr>
        <w:spacing w:after="100" w:line="240" w:lineRule="auto"/>
        <w:ind w:left="0"/>
        <w:rPr>
          <w:rFonts w:eastAsia="Times New Roman" w:cs="Times New Roman"/>
          <w:color w:val="141414"/>
          <w:sz w:val="20"/>
          <w:szCs w:val="20"/>
          <w:lang w:eastAsia="ru-RU"/>
        </w:rPr>
      </w:pPr>
      <w:r w:rsidRPr="00E62F94">
        <w:rPr>
          <w:rFonts w:eastAsia="Times New Roman" w:cs="Times New Roman"/>
          <w:color w:val="141414"/>
          <w:sz w:val="20"/>
          <w:szCs w:val="20"/>
          <w:lang w:eastAsia="ru-RU"/>
        </w:rPr>
        <w:t>0,5 балла – возможность автоматической пролонгации предусмотрена. </w:t>
      </w:r>
    </w:p>
    <w:p w:rsidR="000737D2" w:rsidRPr="00E62F94" w:rsidRDefault="000737D2" w:rsidP="000737D2">
      <w:pPr>
        <w:spacing w:after="109" w:line="240" w:lineRule="auto"/>
        <w:rPr>
          <w:rFonts w:eastAsia="Times New Roman" w:cs="Arial"/>
          <w:sz w:val="24"/>
          <w:szCs w:val="24"/>
          <w:lang w:eastAsia="ru-RU"/>
        </w:rPr>
      </w:pP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3"/>
      </w:tblGrid>
      <w:tr w:rsidR="000737D2" w:rsidRPr="00E62F94" w:rsidTr="00331585">
        <w:trPr>
          <w:tblCellSpacing w:w="7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0737D2" w:rsidRPr="00E62F94" w:rsidRDefault="000737D2" w:rsidP="0033158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62F94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  <w:r w:rsidRPr="00E62F94">
              <w:rPr>
                <w:rFonts w:eastAsia="Times New Roman" w:cs="Arial"/>
                <w:sz w:val="24"/>
                <w:szCs w:val="24"/>
                <w:lang w:eastAsia="ru-RU"/>
              </w:rPr>
              <w:br/>
              <w:t>Напомним, наши рейтинги носят исключительно информационный характер. Результаты рейтинга не могут являться основанием для выбора той или иной финансовой структуры, а служат лишь средством оценки рыночных предложений и текущей ситуации на рынке. </w:t>
            </w:r>
            <w:r w:rsidRPr="00E62F94">
              <w:rPr>
                <w:rFonts w:eastAsia="Times New Roman" w:cs="Arial"/>
                <w:sz w:val="24"/>
                <w:szCs w:val="24"/>
                <w:lang w:eastAsia="ru-RU"/>
              </w:rPr>
              <w:br/>
            </w:r>
          </w:p>
        </w:tc>
      </w:tr>
    </w:tbl>
    <w:p w:rsidR="000737D2" w:rsidRPr="00F07810" w:rsidRDefault="000737D2" w:rsidP="000737D2">
      <w:pPr>
        <w:rPr>
          <w:rFonts w:cs="Arial"/>
        </w:rPr>
      </w:pPr>
      <w:r w:rsidRPr="00E62F94">
        <w:rPr>
          <w:rFonts w:cs="Arial"/>
        </w:rPr>
        <w:br/>
        <w:t xml:space="preserve">Источник: </w:t>
      </w:r>
      <w:hyperlink r:id="rId7" w:history="1">
        <w:r w:rsidR="00F07810" w:rsidRPr="00F77C7A">
          <w:rPr>
            <w:rStyle w:val="a3"/>
            <w:rFonts w:cs="Arial"/>
          </w:rPr>
          <w:t>https://finansist-kazan.ru/news/finances/reyting-pensionnykh-vkladov-v-rublyakh-yanvar-2021/</w:t>
        </w:r>
      </w:hyperlink>
      <w:r w:rsidR="00F07810" w:rsidRPr="00F07810">
        <w:rPr>
          <w:rFonts w:cs="Arial"/>
        </w:rPr>
        <w:t xml:space="preserve"> </w:t>
      </w:r>
      <w:bookmarkStart w:id="0" w:name="_GoBack"/>
      <w:bookmarkEnd w:id="0"/>
    </w:p>
    <w:sectPr w:rsidR="000737D2" w:rsidRPr="00F07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8E9"/>
    <w:multiLevelType w:val="multilevel"/>
    <w:tmpl w:val="84B6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361A3"/>
    <w:multiLevelType w:val="multilevel"/>
    <w:tmpl w:val="002C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149A2"/>
    <w:multiLevelType w:val="multilevel"/>
    <w:tmpl w:val="3680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233585"/>
    <w:multiLevelType w:val="multilevel"/>
    <w:tmpl w:val="F888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592258"/>
    <w:multiLevelType w:val="multilevel"/>
    <w:tmpl w:val="761C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D2"/>
    <w:rsid w:val="000737D2"/>
    <w:rsid w:val="00E62F94"/>
    <w:rsid w:val="00F0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7D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7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7D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7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nansist-kazan.ru/news/finances/reyting-pensionnykh-vkladov-v-rublyakh-yanvar-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sist-kaz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3</cp:revision>
  <dcterms:created xsi:type="dcterms:W3CDTF">2021-01-21T02:15:00Z</dcterms:created>
  <dcterms:modified xsi:type="dcterms:W3CDTF">2021-01-27T03:59:00Z</dcterms:modified>
</cp:coreProperties>
</file>